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07" w:rsidRPr="003B0007" w:rsidRDefault="003B0007" w:rsidP="003B0007">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3B0007">
        <w:rPr>
          <w:rFonts w:ascii="Times New Roman" w:eastAsia="Times New Roman" w:hAnsi="Times New Roman" w:cs="Times New Roman"/>
          <w:b/>
          <w:bCs/>
          <w:kern w:val="36"/>
          <w:sz w:val="40"/>
          <w:szCs w:val="48"/>
        </w:rPr>
        <w:t>Mathematics » Standards for Mathematical Practice</w:t>
      </w:r>
    </w:p>
    <w:p w:rsidR="003B0007" w:rsidRPr="003B0007" w:rsidRDefault="003B0007" w:rsidP="003B0007">
      <w:p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sz w:val="24"/>
          <w:szCs w:val="24"/>
        </w:rPr>
        <w:t xml:space="preserve">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003B0007">
        <w:rPr>
          <w:rFonts w:ascii="Times New Roman" w:eastAsia="Times New Roman" w:hAnsi="Times New Roman" w:cs="Times New Roman"/>
          <w:i/>
          <w:iCs/>
          <w:sz w:val="24"/>
          <w:szCs w:val="24"/>
        </w:rPr>
        <w:t>Adding It Up</w:t>
      </w:r>
      <w:r w:rsidRPr="003B0007">
        <w:rPr>
          <w:rFonts w:ascii="Times New Roman" w:eastAsia="Times New Roman" w:hAnsi="Times New Roman" w:cs="Times New Roman"/>
          <w:sz w:val="24"/>
          <w:szCs w:val="24"/>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CCSS.Math.Practice.MP1</w:t>
      </w:r>
      <w:r w:rsidRPr="003B0007">
        <w:rPr>
          <w:rFonts w:ascii="Times New Roman" w:eastAsia="Times New Roman" w:hAnsi="Times New Roman" w:cs="Times New Roman"/>
          <w:b/>
          <w:bCs/>
        </w:rPr>
        <w:t xml:space="preserve"> Make sense of problems and persevere in solving them.</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CCSS.Math.Practice.MP2</w:t>
      </w:r>
      <w:r w:rsidRPr="003B0007">
        <w:rPr>
          <w:rFonts w:ascii="Times New Roman" w:eastAsia="Times New Roman" w:hAnsi="Times New Roman" w:cs="Times New Roman"/>
          <w:b/>
          <w:bCs/>
        </w:rPr>
        <w:t xml:space="preserve"> Reason abstractly and quantitatively.</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 xml:space="preserve">Mathematically proficient students make sense of quantities and their relationships in problem situations. They bring two complementary abilities to bear on problems involving quantitative relationships: the ability to </w:t>
      </w:r>
      <w:r w:rsidRPr="003B0007">
        <w:rPr>
          <w:rFonts w:ascii="Times New Roman" w:eastAsia="Times New Roman" w:hAnsi="Times New Roman" w:cs="Times New Roman"/>
          <w:i/>
          <w:iCs/>
        </w:rPr>
        <w:t>decontextualize</w:t>
      </w:r>
      <w:r w:rsidRPr="003B0007">
        <w:rPr>
          <w:rFonts w:ascii="Times New Roman" w:eastAsia="Times New Roman" w:hAnsi="Times New Roman" w:cs="Times New Roman"/>
        </w:rPr>
        <w:t xml:space="preserve">—to abstract a given situation and represent it symbolically and manipulate the representing symbols as if they have a life of their own, without necessarily attending to their referents—and the ability to </w:t>
      </w:r>
      <w:r w:rsidRPr="003B0007">
        <w:rPr>
          <w:rFonts w:ascii="Times New Roman" w:eastAsia="Times New Roman" w:hAnsi="Times New Roman" w:cs="Times New Roman"/>
          <w:i/>
          <w:iCs/>
        </w:rPr>
        <w:t>contextualize</w:t>
      </w:r>
      <w:r w:rsidRPr="003B0007">
        <w:rPr>
          <w:rFonts w:ascii="Times New Roman" w:eastAsia="Times New Roman" w:hAnsi="Times New Roman" w:cs="Times New Roman"/>
        </w:rPr>
        <w:t>,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r w:rsidR="00AA306C">
        <w:rPr>
          <w:rFonts w:ascii="Times New Roman" w:eastAsia="Times New Roman" w:hAnsi="Times New Roman" w:cs="Times New Roman"/>
        </w:rPr>
        <w:br/>
      </w:r>
      <w:r w:rsidR="00AA306C">
        <w:rPr>
          <w:rFonts w:ascii="Times New Roman" w:eastAsia="Times New Roman" w:hAnsi="Times New Roman" w:cs="Times New Roman"/>
        </w:rPr>
        <w:br/>
      </w:r>
      <w:r w:rsidR="00AA306C">
        <w:rPr>
          <w:rFonts w:ascii="Times New Roman" w:eastAsia="Times New Roman" w:hAnsi="Times New Roman" w:cs="Times New Roman"/>
        </w:rPr>
        <w:br/>
      </w:r>
      <w:r w:rsidR="00AA306C">
        <w:rPr>
          <w:rFonts w:ascii="Times New Roman" w:eastAsia="Times New Roman" w:hAnsi="Times New Roman" w:cs="Times New Roman"/>
        </w:rPr>
        <w:br/>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lastRenderedPageBreak/>
        <w:t>CCSS.Math.Practice.MP3</w:t>
      </w:r>
      <w:r w:rsidRPr="003B0007">
        <w:rPr>
          <w:rFonts w:ascii="Times New Roman" w:eastAsia="Times New Roman" w:hAnsi="Times New Roman" w:cs="Times New Roman"/>
          <w:b/>
          <w:bCs/>
        </w:rPr>
        <w:t xml:space="preserve"> Construct viable arguments and critique the reasoning of others.</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CCSS.Math.Practice.MP4</w:t>
      </w:r>
      <w:r w:rsidRPr="003B0007">
        <w:rPr>
          <w:rFonts w:ascii="Times New Roman" w:eastAsia="Times New Roman" w:hAnsi="Times New Roman" w:cs="Times New Roman"/>
          <w:b/>
          <w:bCs/>
        </w:rPr>
        <w:t xml:space="preserve"> Model with mathematics.</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CCSS.Math.Practice.MP5</w:t>
      </w:r>
      <w:r w:rsidRPr="003B0007">
        <w:rPr>
          <w:rFonts w:ascii="Times New Roman" w:eastAsia="Times New Roman" w:hAnsi="Times New Roman" w:cs="Times New Roman"/>
          <w:b/>
          <w:bCs/>
        </w:rPr>
        <w:t xml:space="preserve"> Use appropriate tools strategically.</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lastRenderedPageBreak/>
        <w:t>CCSS.Math.Practice.MP6</w:t>
      </w:r>
      <w:r w:rsidRPr="003B0007">
        <w:rPr>
          <w:rFonts w:ascii="Times New Roman" w:eastAsia="Times New Roman" w:hAnsi="Times New Roman" w:cs="Times New Roman"/>
          <w:b/>
          <w:bCs/>
        </w:rPr>
        <w:t xml:space="preserve"> Attend to precision.</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CCSS.Math.Practice.MP7</w:t>
      </w:r>
      <w:r w:rsidRPr="003B0007">
        <w:rPr>
          <w:rFonts w:ascii="Times New Roman" w:eastAsia="Times New Roman" w:hAnsi="Times New Roman" w:cs="Times New Roman"/>
          <w:b/>
          <w:bCs/>
        </w:rPr>
        <w:t xml:space="preserve"> Look for and make use of structure.</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 xml:space="preserve">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t>
      </w:r>
      <w:r w:rsidR="00AA306C" w:rsidRPr="00AA306C">
        <w:rPr>
          <w:rFonts w:ascii="Times New Roman" w:eastAsia="Times New Roman" w:hAnsi="Times New Roman" w:cs="Times New Roman"/>
        </w:rPr>
        <w:t>well-remembered</w:t>
      </w:r>
      <w:r w:rsidRPr="003B0007">
        <w:rPr>
          <w:rFonts w:ascii="Times New Roman" w:eastAsia="Times New Roman" w:hAnsi="Times New Roman" w:cs="Times New Roman"/>
        </w:rPr>
        <w:t xml:space="preserve"> 7 × 5 + 7 × 3, in preparation for learning about the distributive property. In the expression </w:t>
      </w:r>
      <w:r w:rsidRPr="003B0007">
        <w:rPr>
          <w:rFonts w:ascii="Times New Roman" w:eastAsia="Times New Roman" w:hAnsi="Times New Roman" w:cs="Times New Roman"/>
          <w:i/>
          <w:iCs/>
        </w:rPr>
        <w:t>x</w:t>
      </w:r>
      <w:r w:rsidRPr="003B0007">
        <w:rPr>
          <w:rFonts w:ascii="Times New Roman" w:eastAsia="Times New Roman" w:hAnsi="Times New Roman" w:cs="Times New Roman"/>
          <w:vertAlign w:val="superscript"/>
        </w:rPr>
        <w:t>2</w:t>
      </w:r>
      <w:r w:rsidRPr="003B0007">
        <w:rPr>
          <w:rFonts w:ascii="Times New Roman" w:eastAsia="Times New Roman" w:hAnsi="Times New Roman" w:cs="Times New Roman"/>
        </w:rPr>
        <w:t xml:space="preserve"> + 9</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w:t>
      </w:r>
      <w:r w:rsidRPr="003B0007">
        <w:rPr>
          <w:rFonts w:ascii="Times New Roman" w:eastAsia="Times New Roman" w:hAnsi="Times New Roman" w:cs="Times New Roman"/>
          <w:i/>
          <w:iCs/>
        </w:rPr>
        <w:t>y</w:t>
      </w:r>
      <w:r w:rsidRPr="003B0007">
        <w:rPr>
          <w:rFonts w:ascii="Times New Roman" w:eastAsia="Times New Roman" w:hAnsi="Times New Roman" w:cs="Times New Roman"/>
        </w:rPr>
        <w:t>)</w:t>
      </w:r>
      <w:r w:rsidRPr="003B0007">
        <w:rPr>
          <w:rFonts w:ascii="Times New Roman" w:eastAsia="Times New Roman" w:hAnsi="Times New Roman" w:cs="Times New Roman"/>
          <w:vertAlign w:val="superscript"/>
        </w:rPr>
        <w:t>2</w:t>
      </w:r>
      <w:r w:rsidRPr="003B0007">
        <w:rPr>
          <w:rFonts w:ascii="Times New Roman" w:eastAsia="Times New Roman" w:hAnsi="Times New Roman" w:cs="Times New Roman"/>
        </w:rPr>
        <w:t xml:space="preserve"> as 5 minus a positive number times a square and use that to realize that its value cannot be more than 5 for any real numbers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and </w:t>
      </w:r>
      <w:r w:rsidRPr="003B0007">
        <w:rPr>
          <w:rFonts w:ascii="Times New Roman" w:eastAsia="Times New Roman" w:hAnsi="Times New Roman" w:cs="Times New Roman"/>
          <w:i/>
          <w:iCs/>
        </w:rPr>
        <w:t>y</w:t>
      </w:r>
      <w:r w:rsidRPr="003B0007">
        <w:rPr>
          <w:rFonts w:ascii="Times New Roman" w:eastAsia="Times New Roman" w:hAnsi="Times New Roman" w:cs="Times New Roman"/>
        </w:rPr>
        <w:t>.</w:t>
      </w:r>
    </w:p>
    <w:p w:rsidR="003B0007" w:rsidRPr="003B0007" w:rsidRDefault="003B0007" w:rsidP="003B0007">
      <w:pPr>
        <w:numPr>
          <w:ilvl w:val="0"/>
          <w:numId w:val="2"/>
        </w:numPr>
        <w:spacing w:before="100" w:beforeAutospacing="1" w:after="100" w:afterAutospacing="1" w:line="240" w:lineRule="auto"/>
        <w:rPr>
          <w:rFonts w:ascii="Times New Roman" w:eastAsia="Times New Roman" w:hAnsi="Times New Roman" w:cs="Times New Roman"/>
        </w:rPr>
      </w:pPr>
      <w:r w:rsidRPr="003B0007">
        <w:rPr>
          <w:rFonts w:ascii="Times New Roman" w:eastAsia="Times New Roman" w:hAnsi="Times New Roman" w:cs="Times New Roman"/>
          <w:b/>
          <w:bCs/>
          <w:color w:val="0000FF"/>
          <w:u w:val="single"/>
        </w:rPr>
        <w:t>CCSS.Math.Practice.MP8</w:t>
      </w:r>
      <w:r w:rsidRPr="003B0007">
        <w:rPr>
          <w:rFonts w:ascii="Times New Roman" w:eastAsia="Times New Roman" w:hAnsi="Times New Roman" w:cs="Times New Roman"/>
          <w:b/>
          <w:bCs/>
        </w:rPr>
        <w:t xml:space="preserve"> Look for and express regularity in repeated reasoning.</w:t>
      </w:r>
      <w:r w:rsidRPr="003B0007">
        <w:rPr>
          <w:rFonts w:ascii="Times New Roman" w:eastAsia="Times New Roman" w:hAnsi="Times New Roman" w:cs="Times New Roman"/>
        </w:rPr>
        <w:t xml:space="preserve"> </w:t>
      </w:r>
    </w:p>
    <w:p w:rsidR="003B0007" w:rsidRPr="003B0007" w:rsidRDefault="003B0007" w:rsidP="003B0007">
      <w:pPr>
        <w:spacing w:before="100" w:beforeAutospacing="1" w:after="100" w:afterAutospacing="1" w:line="240" w:lineRule="auto"/>
        <w:ind w:left="720"/>
        <w:rPr>
          <w:rFonts w:ascii="Times New Roman" w:eastAsia="Times New Roman" w:hAnsi="Times New Roman" w:cs="Times New Roman"/>
        </w:rPr>
      </w:pPr>
      <w:r w:rsidRPr="003B0007">
        <w:rPr>
          <w:rFonts w:ascii="Times New Roman" w:eastAsia="Times New Roman" w:hAnsi="Times New Roman" w:cs="Times New Roman"/>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w:t>
      </w:r>
      <w:r w:rsidRPr="003B0007">
        <w:rPr>
          <w:rFonts w:ascii="Times New Roman" w:eastAsia="Times New Roman" w:hAnsi="Times New Roman" w:cs="Times New Roman"/>
          <w:i/>
          <w:iCs/>
        </w:rPr>
        <w:t>y</w:t>
      </w:r>
      <w:r w:rsidRPr="003B0007">
        <w:rPr>
          <w:rFonts w:ascii="Times New Roman" w:eastAsia="Times New Roman" w:hAnsi="Times New Roman" w:cs="Times New Roman"/>
        </w:rPr>
        <w:t xml:space="preserve"> – 2)/(</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 = 3. Noticing the regularity in the way terms cancel when expanding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w:t>
      </w:r>
      <w:proofErr w:type="gramStart"/>
      <w:r w:rsidRPr="003B0007">
        <w:rPr>
          <w:rFonts w:ascii="Times New Roman" w:eastAsia="Times New Roman" w:hAnsi="Times New Roman" w:cs="Times New Roman"/>
        </w:rPr>
        <w:t>)(</w:t>
      </w:r>
      <w:proofErr w:type="gramEnd"/>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w:t>
      </w:r>
      <w:r w:rsidRPr="003B0007">
        <w:rPr>
          <w:rFonts w:ascii="Times New Roman" w:eastAsia="Times New Roman" w:hAnsi="Times New Roman" w:cs="Times New Roman"/>
          <w:i/>
          <w:iCs/>
        </w:rPr>
        <w:t>x</w:t>
      </w:r>
      <w:r w:rsidRPr="003B0007">
        <w:rPr>
          <w:rFonts w:ascii="Times New Roman" w:eastAsia="Times New Roman" w:hAnsi="Times New Roman" w:cs="Times New Roman"/>
          <w:vertAlign w:val="superscript"/>
        </w:rPr>
        <w:t>2</w:t>
      </w:r>
      <w:r w:rsidRPr="003B0007">
        <w:rPr>
          <w:rFonts w:ascii="Times New Roman" w:eastAsia="Times New Roman" w:hAnsi="Times New Roman" w:cs="Times New Roman"/>
        </w:rPr>
        <w:t xml:space="preserve"> +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 and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w:t>
      </w:r>
      <w:r w:rsidRPr="003B0007">
        <w:rPr>
          <w:rFonts w:ascii="Times New Roman" w:eastAsia="Times New Roman" w:hAnsi="Times New Roman" w:cs="Times New Roman"/>
          <w:i/>
          <w:iCs/>
        </w:rPr>
        <w:t>x</w:t>
      </w:r>
      <w:r w:rsidRPr="003B0007">
        <w:rPr>
          <w:rFonts w:ascii="Times New Roman" w:eastAsia="Times New Roman" w:hAnsi="Times New Roman" w:cs="Times New Roman"/>
          <w:vertAlign w:val="superscript"/>
        </w:rPr>
        <w:t>3</w:t>
      </w:r>
      <w:r w:rsidRPr="003B0007">
        <w:rPr>
          <w:rFonts w:ascii="Times New Roman" w:eastAsia="Times New Roman" w:hAnsi="Times New Roman" w:cs="Times New Roman"/>
        </w:rPr>
        <w:t xml:space="preserve"> +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2 + </w:t>
      </w:r>
      <w:r w:rsidRPr="003B0007">
        <w:rPr>
          <w:rFonts w:ascii="Times New Roman" w:eastAsia="Times New Roman" w:hAnsi="Times New Roman" w:cs="Times New Roman"/>
          <w:i/>
          <w:iCs/>
        </w:rPr>
        <w:t>x</w:t>
      </w:r>
      <w:r w:rsidRPr="003B0007">
        <w:rPr>
          <w:rFonts w:ascii="Times New Roman" w:eastAsia="Times New Roman" w:hAnsi="Times New Roman" w:cs="Times New Roman"/>
        </w:rPr>
        <w:t xml:space="preserve"> + 1) might lead them to the general formula for the sum of a geometric series. As they work to solve a problem, mathematically proficient students maintain oversight of the process, while attending to the details. They continually ev</w:t>
      </w:r>
      <w:bookmarkStart w:id="0" w:name="_GoBack"/>
      <w:bookmarkEnd w:id="0"/>
      <w:r w:rsidRPr="003B0007">
        <w:rPr>
          <w:rFonts w:ascii="Times New Roman" w:eastAsia="Times New Roman" w:hAnsi="Times New Roman" w:cs="Times New Roman"/>
        </w:rPr>
        <w:t>aluate the reasonableness of their intermediate results.</w:t>
      </w:r>
    </w:p>
    <w:p w:rsidR="004916B5" w:rsidRPr="00AA306C" w:rsidRDefault="004916B5"/>
    <w:sectPr w:rsidR="004916B5" w:rsidRPr="00AA3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83AAD"/>
    <w:multiLevelType w:val="multilevel"/>
    <w:tmpl w:val="79C4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3315ED"/>
    <w:multiLevelType w:val="multilevel"/>
    <w:tmpl w:val="9CCA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07"/>
    <w:rsid w:val="003B0007"/>
    <w:rsid w:val="004916B5"/>
    <w:rsid w:val="00AA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2012-10-21T17:50:00Z</dcterms:created>
  <dcterms:modified xsi:type="dcterms:W3CDTF">2012-10-21T23:57:00Z</dcterms:modified>
</cp:coreProperties>
</file>