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 Internet Safety and Use Survey Directions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Teachers will receive a student laptop or iPad sometime between Wed. 9/11 and 9/12.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 laptops and iPads will be picked up ASAP following advisory.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Students will complete short survey during advisory on Thursday 9/12.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Please allow them to use their Smart phones, tablets, or other BYO devices. This is the only advisory period we have to give the survey.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 survey can be found online using the following URL or QR Code: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Feel free to make a copy of the QR code to post in your room. All FHS iPads have the QR code scanner installed.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If you must print the survey, please return printed surveys to the library.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Survey directions: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Take survey, click Done, and close browser.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There won’t be a link to restart the survey for the next student. Students will have to re-enter the URL or re-scan the QR code.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* Teachers may want to assign one student to assist with this to keep survey moving along.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hyperlink r:id="rId5">
        <w:r w:rsidRPr="00000000" w:rsidR="00000000" w:rsidDel="00000000">
          <w:rPr>
            <w:color w:val="1155cc"/>
            <w:u w:val="single"/>
            <w:rtl w:val="0"/>
          </w:rPr>
          <w:t xml:space="preserve">http://bit.ly/yourtechno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>
            <wp:extent cy="2962275" cx="2962275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ext cy="2962275" cx="2962275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6"/><Relationship Target="http://bit.ly/yourtechno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Survey Teacher Directions.docx</dc:title>
</cp:coreProperties>
</file>